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2226" w:rsidRPr="00203184" w:rsidP="006E6B67">
      <w:pPr>
        <w:pStyle w:val="Heading1"/>
        <w:contextualSpacing/>
        <w:jc w:val="right"/>
        <w:rPr>
          <w:szCs w:val="24"/>
        </w:rPr>
      </w:pPr>
      <w:r w:rsidRPr="00203184">
        <w:rPr>
          <w:szCs w:val="24"/>
        </w:rPr>
        <w:t xml:space="preserve">дело № </w:t>
      </w:r>
      <w:r w:rsidRPr="00203184" w:rsidR="0021383A">
        <w:rPr>
          <w:szCs w:val="24"/>
        </w:rPr>
        <w:t>5-</w:t>
      </w:r>
      <w:r w:rsidR="00197692">
        <w:rPr>
          <w:szCs w:val="24"/>
        </w:rPr>
        <w:t>584</w:t>
      </w:r>
      <w:r w:rsidRPr="00203184" w:rsidR="00766025">
        <w:rPr>
          <w:szCs w:val="24"/>
        </w:rPr>
        <w:t>/2806</w:t>
      </w:r>
      <w:r w:rsidRPr="00203184" w:rsidR="0021383A">
        <w:rPr>
          <w:szCs w:val="24"/>
        </w:rPr>
        <w:t>/202</w:t>
      </w:r>
      <w:r w:rsidRPr="00203184" w:rsidR="00E334B3">
        <w:rPr>
          <w:szCs w:val="24"/>
        </w:rPr>
        <w:t>4</w:t>
      </w:r>
    </w:p>
    <w:p w:rsidR="000B0648" w:rsidRPr="00203184" w:rsidP="006E6B67">
      <w:pPr>
        <w:pStyle w:val="Heading1"/>
        <w:contextualSpacing/>
        <w:jc w:val="center"/>
        <w:rPr>
          <w:spacing w:val="40"/>
          <w:szCs w:val="24"/>
        </w:rPr>
      </w:pPr>
      <w:r w:rsidRPr="00203184">
        <w:rPr>
          <w:spacing w:val="40"/>
          <w:szCs w:val="24"/>
        </w:rPr>
        <w:t>ПОСТАНОВЛЕНИЕ</w:t>
      </w:r>
    </w:p>
    <w:p w:rsidR="000B0648" w:rsidRPr="00203184" w:rsidP="006E6B67">
      <w:pPr>
        <w:contextualSpacing/>
        <w:jc w:val="center"/>
      </w:pPr>
      <w:r w:rsidRPr="00203184">
        <w:t>по делу об административном правонарушении</w:t>
      </w:r>
    </w:p>
    <w:p w:rsidR="00766025" w:rsidRPr="00203184" w:rsidP="006E6B67">
      <w:pPr>
        <w:contextualSpacing/>
        <w:jc w:val="center"/>
      </w:pPr>
    </w:p>
    <w:p w:rsidR="000B0648" w:rsidRPr="00203184" w:rsidP="006E6B67">
      <w:pPr>
        <w:spacing w:before="60" w:after="60"/>
        <w:contextualSpacing/>
      </w:pPr>
      <w:r w:rsidRPr="00203184">
        <w:t xml:space="preserve">город Ханты-Мансийск </w:t>
      </w:r>
      <w:r w:rsidRPr="00203184">
        <w:tab/>
      </w:r>
      <w:r w:rsidRPr="00203184" w:rsidR="008A7A5F">
        <w:tab/>
      </w:r>
      <w:r w:rsidRPr="00203184" w:rsidR="00DA6D26">
        <w:tab/>
      </w:r>
      <w:r w:rsidRPr="00203184" w:rsidR="00DA6D26">
        <w:tab/>
      </w:r>
      <w:r w:rsidRPr="00203184" w:rsidR="00DA6D26">
        <w:tab/>
        <w:t xml:space="preserve">  </w:t>
      </w:r>
      <w:r w:rsidRPr="00203184" w:rsidR="0081153C">
        <w:t xml:space="preserve">         </w:t>
      </w:r>
      <w:r w:rsidRPr="00203184" w:rsidR="00A07235">
        <w:t xml:space="preserve">  </w:t>
      </w:r>
      <w:r w:rsidRPr="00203184">
        <w:t xml:space="preserve">                   </w:t>
      </w:r>
      <w:r w:rsidR="009D4973">
        <w:t xml:space="preserve">     </w:t>
      </w:r>
      <w:r w:rsidRPr="00197692" w:rsidR="00197692">
        <w:t>30</w:t>
      </w:r>
      <w:r w:rsidRPr="00197692">
        <w:t xml:space="preserve"> мая</w:t>
      </w:r>
      <w:r w:rsidRPr="00203184" w:rsidR="00E334B3">
        <w:t xml:space="preserve"> 2024</w:t>
      </w:r>
      <w:r w:rsidRPr="00203184" w:rsidR="008A7A5F">
        <w:t xml:space="preserve"> года</w:t>
      </w:r>
    </w:p>
    <w:p w:rsidR="00766025" w:rsidRPr="00203184" w:rsidP="006E6B67">
      <w:pPr>
        <w:spacing w:before="60" w:after="60"/>
        <w:contextualSpacing/>
      </w:pPr>
    </w:p>
    <w:p w:rsidR="00766025" w:rsidRPr="00203184" w:rsidP="006E6B6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766025">
        <w:rPr>
          <w:lang w:eastAsia="ru-RU"/>
        </w:rPr>
        <w:t>Мировой судья судебного участка №6 Ханты-Мансийского судебного района Ханты-Мансийского автономного округа – Югры Жиляк Н.Н. (628011, Ханты-Мансийский автономный округ – Югра, г.Ханты-Мансийск, ул.Ленина, дом 87/1), с участием лица, в отношении которого ве</w:t>
      </w:r>
      <w:r w:rsidRPr="00766025">
        <w:rPr>
          <w:lang w:eastAsia="ru-RU"/>
        </w:rPr>
        <w:t xml:space="preserve">дется производство по делу об административном правонарушении – </w:t>
      </w:r>
      <w:r w:rsidRPr="00203184">
        <w:rPr>
          <w:lang w:eastAsia="ru-RU"/>
        </w:rPr>
        <w:t>Тетерина А.Ю</w:t>
      </w:r>
      <w:r w:rsidRPr="00766025">
        <w:rPr>
          <w:lang w:eastAsia="ru-RU"/>
        </w:rPr>
        <w:t>., рассмотрев материалы дела об административном правонарушении, предусмотренном ст.20.</w:t>
      </w:r>
      <w:r w:rsidRPr="00203184">
        <w:rPr>
          <w:lang w:eastAsia="ru-RU"/>
        </w:rPr>
        <w:t>10</w:t>
      </w:r>
      <w:r w:rsidRPr="00766025">
        <w:rPr>
          <w:lang w:eastAsia="ru-RU"/>
        </w:rPr>
        <w:t xml:space="preserve"> Кодекса Российской Федерации об административных правонарушениях (далее – КоАП РФ), в отно</w:t>
      </w:r>
      <w:r w:rsidRPr="00766025">
        <w:rPr>
          <w:lang w:eastAsia="ru-RU"/>
        </w:rPr>
        <w:t xml:space="preserve">шении </w:t>
      </w:r>
      <w:r w:rsidRPr="00203184">
        <w:rPr>
          <w:lang w:eastAsia="ru-RU"/>
        </w:rPr>
        <w:t>Тетерина Анатолия Юрьевича</w:t>
      </w:r>
      <w:r w:rsidRPr="00766025">
        <w:rPr>
          <w:lang w:eastAsia="ru-RU"/>
        </w:rPr>
        <w:t xml:space="preserve">, </w:t>
      </w:r>
      <w:r w:rsidR="00960300">
        <w:rPr>
          <w:lang w:eastAsia="ru-RU"/>
        </w:rPr>
        <w:t>…</w:t>
      </w:r>
      <w:r w:rsidRPr="00766025">
        <w:rPr>
          <w:spacing w:val="-2"/>
          <w:lang w:eastAsia="ru-RU"/>
        </w:rPr>
        <w:t>, подвергнутого административным наказаниям за однородные правонарушения,</w:t>
      </w:r>
    </w:p>
    <w:p w:rsidR="00203184" w:rsidP="006E6B67">
      <w:pPr>
        <w:spacing w:before="60" w:after="60"/>
        <w:contextualSpacing/>
        <w:jc w:val="center"/>
        <w:rPr>
          <w:spacing w:val="40"/>
        </w:rPr>
      </w:pPr>
    </w:p>
    <w:p w:rsidR="00A27ABC" w:rsidP="006E6B67">
      <w:pPr>
        <w:spacing w:before="60" w:after="60"/>
        <w:contextualSpacing/>
        <w:jc w:val="center"/>
      </w:pPr>
      <w:r w:rsidRPr="00203184">
        <w:rPr>
          <w:spacing w:val="40"/>
        </w:rPr>
        <w:t>установил</w:t>
      </w:r>
      <w:r w:rsidRPr="00203184">
        <w:t>:</w:t>
      </w:r>
    </w:p>
    <w:p w:rsidR="00203184" w:rsidRPr="00203184" w:rsidP="006E6B67">
      <w:pPr>
        <w:spacing w:before="60" w:after="60"/>
        <w:contextualSpacing/>
        <w:jc w:val="center"/>
      </w:pPr>
    </w:p>
    <w:p w:rsidR="0054001D" w:rsidRPr="00203184" w:rsidP="006E6B67">
      <w:pPr>
        <w:ind w:firstLine="708"/>
        <w:contextualSpacing/>
        <w:jc w:val="both"/>
      </w:pPr>
      <w:r>
        <w:t>06 мая 2024</w:t>
      </w:r>
      <w:r w:rsidRPr="00203184" w:rsidR="00A27ABC">
        <w:t xml:space="preserve"> года </w:t>
      </w:r>
      <w:r>
        <w:t>в</w:t>
      </w:r>
      <w:r w:rsidRPr="00203184" w:rsidR="00A27ABC">
        <w:t xml:space="preserve"> </w:t>
      </w:r>
      <w:r>
        <w:t>14</w:t>
      </w:r>
      <w:r w:rsidRPr="00203184" w:rsidR="00A27ABC">
        <w:t>:</w:t>
      </w:r>
      <w:r>
        <w:t>31</w:t>
      </w:r>
      <w:r w:rsidRPr="00203184" w:rsidR="00A27ABC">
        <w:t xml:space="preserve"> уполномоченными должностными лицами установлено, что </w:t>
      </w:r>
      <w:r>
        <w:t>Тетерин А.Ю</w:t>
      </w:r>
      <w:r w:rsidRPr="00203184" w:rsidR="00E334B3">
        <w:t>.</w:t>
      </w:r>
      <w:r w:rsidRPr="00203184" w:rsidR="00A27ABC">
        <w:t xml:space="preserve"> по адресу: </w:t>
      </w:r>
      <w:r w:rsidRPr="00203184" w:rsidR="00E334B3">
        <w:t xml:space="preserve">Ханты-Мансийский автономный округ – Югра, </w:t>
      </w:r>
      <w:r>
        <w:t xml:space="preserve">г.Ханты-Мансийск, </w:t>
      </w:r>
      <w:r w:rsidR="00960300">
        <w:t>...</w:t>
      </w:r>
      <w:r>
        <w:t xml:space="preserve">, </w:t>
      </w:r>
      <w:r w:rsidR="00960300">
        <w:t>...</w:t>
      </w:r>
      <w:r w:rsidRPr="00203184" w:rsidR="00E334B3">
        <w:t>,</w:t>
      </w:r>
      <w:r w:rsidRPr="00203184" w:rsidR="00A27ABC">
        <w:t xml:space="preserve"> действуя умышленно, </w:t>
      </w:r>
      <w:r w:rsidRPr="00203184">
        <w:t>в нарушение требований статьи 22 Федерального закона от 13 декабря 1996 года №150-ФЗ «Об ор</w:t>
      </w:r>
      <w:r w:rsidRPr="00203184">
        <w:t xml:space="preserve">ужии», </w:t>
      </w:r>
      <w:hyperlink r:id="rId5" w:anchor="/document/12112448/entry/340" w:history="1">
        <w:r w:rsidRPr="00203184">
          <w:rPr>
            <w:rStyle w:val="Hyperlink"/>
            <w:color w:val="auto"/>
            <w:u w:val="none"/>
          </w:rPr>
          <w:t>пункта 54</w:t>
        </w:r>
      </w:hyperlink>
      <w:r w:rsidRPr="00203184">
        <w:t xml:space="preserve"> Правил оборота гражданского и служебного оружия и патронов к нему на территории Российской Федерации, осуществлял незаконное хранение</w:t>
      </w:r>
      <w:r w:rsidRPr="00203184" w:rsidR="00E334B3">
        <w:t xml:space="preserve"> </w:t>
      </w:r>
      <w:r w:rsidRPr="00203184">
        <w:t>боеприпас</w:t>
      </w:r>
      <w:r>
        <w:t>ов</w:t>
      </w:r>
      <w:r w:rsidRPr="00203184">
        <w:t xml:space="preserve"> к гражданск</w:t>
      </w:r>
      <w:r w:rsidRPr="00203184">
        <w:t>ому огнестрельному гладкоствольному оружию в количестве 79 патронов 12 калибра и 5 патронов 16 калибра</w:t>
      </w:r>
      <w:r>
        <w:t xml:space="preserve"> </w:t>
      </w:r>
      <w:r w:rsidRPr="00203184">
        <w:t xml:space="preserve">и </w:t>
      </w:r>
      <w:r>
        <w:t xml:space="preserve">такие </w:t>
      </w:r>
      <w:r w:rsidRPr="00203184">
        <w:t>действия не содержат признаков уголовно наказуемого деяния, то есть совершил административное правонарушение, предусмотренное статьёй 20.10 Кодек</w:t>
      </w:r>
      <w:r w:rsidRPr="00203184">
        <w:t>са Российской Федерации об административных правонарушениях</w:t>
      </w:r>
      <w:r>
        <w:t>.</w:t>
      </w:r>
    </w:p>
    <w:p w:rsidR="00820286" w:rsidRPr="00203184" w:rsidP="006E6B67">
      <w:pPr>
        <w:autoSpaceDE w:val="0"/>
        <w:autoSpaceDN w:val="0"/>
        <w:adjustRightInd w:val="0"/>
        <w:ind w:firstLine="709"/>
        <w:contextualSpacing/>
        <w:jc w:val="both"/>
      </w:pPr>
      <w:r w:rsidRPr="00203184">
        <w:t>В судебно</w:t>
      </w:r>
      <w:r w:rsidRPr="00203184" w:rsidR="00082B13">
        <w:t>м</w:t>
      </w:r>
      <w:r w:rsidRPr="00203184">
        <w:t xml:space="preserve"> заседан</w:t>
      </w:r>
      <w:r w:rsidRPr="00203184" w:rsidR="00097115">
        <w:t>и</w:t>
      </w:r>
      <w:r w:rsidRPr="00203184" w:rsidR="00082B13">
        <w:t>и</w:t>
      </w:r>
      <w:r w:rsidRPr="00203184">
        <w:t xml:space="preserve"> </w:t>
      </w:r>
      <w:r w:rsidRPr="00203184" w:rsidR="00A143FA">
        <w:t>привлекаемое лицо</w:t>
      </w:r>
      <w:r w:rsidRPr="00203184" w:rsidR="00082B13">
        <w:t xml:space="preserve">, вину </w:t>
      </w:r>
      <w:r w:rsidRPr="00203184" w:rsidR="00A143FA">
        <w:t xml:space="preserve">в совершении вменённого административного правонарушения </w:t>
      </w:r>
      <w:r w:rsidRPr="00203184" w:rsidR="00082B13">
        <w:t>признал полностью</w:t>
      </w:r>
      <w:r w:rsidRPr="00203184" w:rsidR="00AE5068">
        <w:t xml:space="preserve">. </w:t>
      </w:r>
      <w:r w:rsidR="006E6B67">
        <w:t>Указал, что нашел патроны на берегу, хранил их в сейфе, но забыл сдать в лицензионный орган</w:t>
      </w:r>
      <w:r w:rsidRPr="00203184" w:rsidR="0022702B">
        <w:t>.</w:t>
      </w:r>
    </w:p>
    <w:p w:rsidR="00820286" w:rsidRPr="00203184" w:rsidP="006E6B67">
      <w:pPr>
        <w:ind w:firstLine="709"/>
        <w:contextualSpacing/>
        <w:jc w:val="both"/>
      </w:pPr>
      <w:r w:rsidRPr="00203184">
        <w:t>Исследовав представленные материалы дела, мировой судья приходит к следующему.</w:t>
      </w:r>
    </w:p>
    <w:p w:rsidR="004C1672" w:rsidRPr="00203184" w:rsidP="006E6B67">
      <w:pPr>
        <w:ind w:firstLine="709"/>
        <w:contextualSpacing/>
        <w:jc w:val="both"/>
      </w:pPr>
      <w:r w:rsidRPr="00203184">
        <w:t>В силу статьи 1 Федерального закона от 13 декабря 1996 года № 150-ФЗ «Об оружии» (далее – Федеральный закон № 150-ФЗ) огнестрельное оружие – оружие, предназн</w:t>
      </w:r>
      <w:r w:rsidRPr="00203184">
        <w:t>аченное для механического поражения цели на расстоянии метаемым снаряжением, получающим направленное движение за счёт энергии порохового или иного заряда.</w:t>
      </w:r>
    </w:p>
    <w:p w:rsidR="004C1672" w:rsidRPr="00203184" w:rsidP="006E6B67">
      <w:pPr>
        <w:ind w:firstLine="709"/>
        <w:contextualSpacing/>
        <w:jc w:val="both"/>
      </w:pPr>
      <w:r w:rsidRPr="00203184">
        <w:t>К гражданскому оружию относится оружие, предназначенное для использования гражданами Российской Федер</w:t>
      </w:r>
      <w:r w:rsidRPr="00203184">
        <w:t>ации в целях самообороны, для занятий спортом и охоты, а также в культурных и образовательных целях. Гражданское огнестрельное оружие должно исключать ведение огня очередями и иметь ёмкость магазина (барабана) не более 10 патронов. Ограничение ёмкости мага</w:t>
      </w:r>
      <w:r w:rsidRPr="00203184">
        <w:t>зина (барабана) не распространяется на спортивное оружие, требования к составным частям которого определяются правилами видов спорта и (или) положениями (регламентами) о спортивных соревнованиях, принятыми общероссийскими спортивными федерациями, аккредито</w:t>
      </w:r>
      <w:r w:rsidRPr="00203184">
        <w:t>ванными в соответствии с законодательством Российской Федерации, по одному или нескольким видам спорта, связанным с использованием спортивного оружия. При использовании гражданского огнестрельного оружия ограниченного поражения должна быть исключена возмож</w:t>
      </w:r>
      <w:r w:rsidRPr="00203184">
        <w:t>ность выстрела из него патронами, в том числе метаемым снаряжением, используемыми для стрельбы из боевого ручного стрелкового оружия, служебного нарезного оружия и гладкоствольного огнестрельного оружия, гражданского нарезного оружия и гладкоствольного дли</w:t>
      </w:r>
      <w:r w:rsidRPr="00203184">
        <w:t>нноствольного огнестрельного оружия.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Дж, а из гражданского огнестрельного оружия ограниченного п</w:t>
      </w:r>
      <w:r w:rsidRPr="00203184">
        <w:t>оражения - 91 Дж. Гражданское оружие и патроны к нему должны соответствовать криминалистическим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 w:rsidRPr="00203184">
        <w:t xml:space="preserve">вовому регулированию в сфере внутренних дел, </w:t>
      </w:r>
      <w:r w:rsidRPr="00203184">
        <w:t>согласованным с федеральным органом исполнительной власти, уполномоченным в сфере оборота оружия, и федеральным органом исполнительной власти, осуществляющим функции по оказанию государственных услуг, управлению</w:t>
      </w:r>
      <w:r w:rsidRPr="00203184">
        <w:t xml:space="preserve"> государственным имуществом в сфере технического регулирования и обеспечения единства измерений (статья 3 Закона об оружии).</w:t>
      </w:r>
    </w:p>
    <w:p w:rsidR="0010699C" w:rsidRPr="00203184" w:rsidP="006E6B67">
      <w:pPr>
        <w:ind w:firstLine="709"/>
        <w:contextualSpacing/>
        <w:jc w:val="both"/>
      </w:pPr>
      <w:r w:rsidRPr="00203184">
        <w:t xml:space="preserve">В силу </w:t>
      </w:r>
      <w:hyperlink r:id="rId5" w:anchor="/document/10128024/entry/2201" w:history="1">
        <w:r w:rsidRPr="00203184">
          <w:rPr>
            <w:rStyle w:val="Hyperlink"/>
            <w:color w:val="auto"/>
            <w:u w:val="none"/>
          </w:rPr>
          <w:t>части 1 статьи</w:t>
        </w:r>
        <w:r w:rsidR="006E6B67">
          <w:rPr>
            <w:rStyle w:val="Hyperlink"/>
            <w:color w:val="auto"/>
            <w:u w:val="none"/>
          </w:rPr>
          <w:t xml:space="preserve"> </w:t>
        </w:r>
        <w:r w:rsidRPr="00203184">
          <w:rPr>
            <w:rStyle w:val="Hyperlink"/>
            <w:color w:val="auto"/>
            <w:u w:val="none"/>
          </w:rPr>
          <w:t>22</w:t>
        </w:r>
      </w:hyperlink>
      <w:r w:rsidR="006E6B67">
        <w:t xml:space="preserve"> Федерального закона №</w:t>
      </w:r>
      <w:r w:rsidRPr="00203184">
        <w:t>15</w:t>
      </w:r>
      <w:r w:rsidRPr="00203184">
        <w:t>0-ФЗ хранение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органе разрешение на хр</w:t>
      </w:r>
      <w:r w:rsidRPr="00203184">
        <w:t>анение или хранение и ношение оружия.</w:t>
      </w:r>
    </w:p>
    <w:p w:rsidR="0010699C" w:rsidRPr="00203184" w:rsidP="006E6B67">
      <w:pPr>
        <w:ind w:firstLine="709"/>
        <w:contextualSpacing/>
        <w:jc w:val="both"/>
      </w:pPr>
      <w:r w:rsidRPr="00203184">
        <w:t xml:space="preserve">Аналогичные требования установлены </w:t>
      </w:r>
      <w:hyperlink r:id="rId5" w:anchor="/document/12112448/entry/340" w:history="1">
        <w:r w:rsidRPr="00203184">
          <w:rPr>
            <w:rStyle w:val="Hyperlink"/>
            <w:color w:val="auto"/>
            <w:u w:val="none"/>
          </w:rPr>
          <w:t>пунктом 54</w:t>
        </w:r>
      </w:hyperlink>
      <w:r w:rsidRPr="00203184">
        <w:t xml:space="preserve"> Правил оборота гражданского и служебного оружия и патронов к нему на территории Российской Федерации, утверждённых </w:t>
      </w:r>
      <w:hyperlink r:id="rId5" w:anchor="/document/12112448/entry/0" w:history="1">
        <w:r w:rsidRPr="00203184">
          <w:rPr>
            <w:rStyle w:val="Hyperlink"/>
            <w:color w:val="auto"/>
            <w:u w:val="none"/>
          </w:rPr>
          <w:t>постановлением</w:t>
        </w:r>
      </w:hyperlink>
      <w:r w:rsidRPr="00203184">
        <w:t xml:space="preserve"> Правительства Российской Федерации от 21 июля</w:t>
      </w:r>
      <w:r w:rsidRPr="00203184">
        <w:t xml:space="preserve"> 1998</w:t>
      </w:r>
      <w:r w:rsidR="006E6B67">
        <w:t xml:space="preserve"> года №</w:t>
      </w:r>
      <w:r w:rsidRPr="00203184">
        <w:t>814.</w:t>
      </w:r>
    </w:p>
    <w:p w:rsidR="0010699C" w:rsidRPr="00203184" w:rsidP="006E6B67">
      <w:pPr>
        <w:ind w:firstLine="709"/>
        <w:contextualSpacing/>
        <w:jc w:val="both"/>
      </w:pPr>
      <w:r w:rsidRPr="00203184">
        <w:t>В соответствии с</w:t>
      </w:r>
      <w:r w:rsidRPr="00203184" w:rsidR="00AE5068">
        <w:t>о</w:t>
      </w:r>
      <w:r w:rsidRPr="00203184">
        <w:t xml:space="preserve"> стать</w:t>
      </w:r>
      <w:r w:rsidRPr="00203184" w:rsidR="00AE5068">
        <w:t>ёй</w:t>
      </w:r>
      <w:r w:rsidRPr="00203184">
        <w:t xml:space="preserve"> 20.</w:t>
      </w:r>
      <w:r w:rsidRPr="00203184" w:rsidR="00AE5068">
        <w:t>10</w:t>
      </w:r>
      <w:r w:rsidRPr="00203184">
        <w:t xml:space="preserve"> </w:t>
      </w:r>
      <w:r w:rsidR="00203184">
        <w:t>КоАП РФ</w:t>
      </w:r>
      <w:r w:rsidRPr="00203184" w:rsidR="004C1672">
        <w:t xml:space="preserve"> </w:t>
      </w:r>
      <w:r w:rsidRPr="00203184" w:rsidR="00AE5068">
        <w:t>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оружию, если эти действия не содержат уголовно наказуемого деяния, - влечёт наложение административного штрафа на граждан в размере от пяти тысяч до десяти тысяч рублей с конфискацией оружия,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оружия, основных частей огнестрельного оружия и патронов к оружию или без таковой; на должностных лиц - от десяти тысяч до пятидесяти тысяч рублей с конфискацией оружия, основных частей огнестрельного оружия и патронов к оружию или без таковой либо дисквалификацию на срок от шести месяцев до трёх лет с конфискацией оружия, основных частей огнестрельного оружия и патронов к оружию или без таковой; на юридических лиц - от трёхсот тысяч до пятисот тысяч рублей с конфискацией оружия,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</w:t>
      </w:r>
      <w:r w:rsidRPr="00203184">
        <w:t>.</w:t>
      </w:r>
    </w:p>
    <w:p w:rsidR="00820286" w:rsidRPr="00203184" w:rsidP="006E6B67">
      <w:pPr>
        <w:ind w:firstLine="709"/>
        <w:contextualSpacing/>
        <w:jc w:val="both"/>
      </w:pPr>
      <w:r w:rsidRPr="00203184">
        <w:t xml:space="preserve">Событие административного правонарушения и вина </w:t>
      </w:r>
      <w:r w:rsidR="00203184">
        <w:t>Тетерина А.Ю</w:t>
      </w:r>
      <w:r w:rsidRPr="00203184" w:rsidR="00E334B3">
        <w:t>.</w:t>
      </w:r>
      <w:r w:rsidRPr="00203184" w:rsidR="00286257">
        <w:t xml:space="preserve"> </w:t>
      </w:r>
      <w:r w:rsidRPr="00203184">
        <w:t>в его совершении подтверждаются совокупностью исследованных в судебном заседании доказательств:</w:t>
      </w:r>
    </w:p>
    <w:p w:rsidR="00820286" w:rsidRPr="00203184" w:rsidP="006E6B67">
      <w:pPr>
        <w:ind w:firstLine="709"/>
        <w:contextualSpacing/>
        <w:jc w:val="both"/>
      </w:pPr>
      <w:r w:rsidRPr="00203184">
        <w:t xml:space="preserve">- протоколом об административном правонарушении </w:t>
      </w:r>
      <w:r w:rsidR="00203184">
        <w:t>серии 86 №</w:t>
      </w:r>
      <w:r w:rsidR="00960300">
        <w:t>...</w:t>
      </w:r>
      <w:r w:rsidRPr="00203184">
        <w:t xml:space="preserve">, </w:t>
      </w:r>
      <w:r w:rsidRPr="00203184" w:rsidR="00AE5068">
        <w:t>в</w:t>
      </w:r>
      <w:r w:rsidRPr="00203184">
        <w:t xml:space="preserve"> котором </w:t>
      </w:r>
      <w:r w:rsidRPr="00203184" w:rsidR="00AE5068">
        <w:t>изложено событие вменённого административного правонарушения</w:t>
      </w:r>
      <w:r w:rsidRPr="00203184">
        <w:t xml:space="preserve">. При составлении протокола права, предусмотренные </w:t>
      </w:r>
      <w:r w:rsidRPr="00203184" w:rsidR="0037075A">
        <w:t>ст</w:t>
      </w:r>
      <w:r w:rsidR="00203184">
        <w:t>.</w:t>
      </w:r>
      <w:r w:rsidRPr="00203184">
        <w:t xml:space="preserve">25.1 </w:t>
      </w:r>
      <w:r w:rsidR="00203184">
        <w:t>КоАП РФ</w:t>
      </w:r>
      <w:r w:rsidRPr="00203184">
        <w:t xml:space="preserve">, а также положения </w:t>
      </w:r>
      <w:r w:rsidRPr="00203184" w:rsidR="0037075A">
        <w:t>стать</w:t>
      </w:r>
      <w:r w:rsidR="00203184">
        <w:t>и</w:t>
      </w:r>
      <w:r w:rsidRPr="00203184" w:rsidR="0037075A">
        <w:t xml:space="preserve"> </w:t>
      </w:r>
      <w:r w:rsidRPr="00203184">
        <w:t xml:space="preserve">51 Конституции Российской Федерации </w:t>
      </w:r>
      <w:r w:rsidRPr="00203184" w:rsidR="00AE5068">
        <w:t>привлекаемому лицу</w:t>
      </w:r>
      <w:r w:rsidRPr="00203184" w:rsidR="00286257">
        <w:t xml:space="preserve"> </w:t>
      </w:r>
      <w:r w:rsidRPr="00203184">
        <w:t>разъяснены;</w:t>
      </w:r>
    </w:p>
    <w:p w:rsidR="00250BA1" w:rsidRPr="00203184" w:rsidP="006E6B67">
      <w:pPr>
        <w:ind w:firstLine="709"/>
        <w:contextualSpacing/>
        <w:jc w:val="both"/>
      </w:pPr>
      <w:r w:rsidRPr="00203184">
        <w:t xml:space="preserve">- письменными объяснениями привлекаемого лица, </w:t>
      </w:r>
      <w:r w:rsidRPr="00203184" w:rsidR="00AE5068">
        <w:t>в</w:t>
      </w:r>
      <w:r w:rsidRPr="00203184" w:rsidR="00EB0948">
        <w:t xml:space="preserve"> котор</w:t>
      </w:r>
      <w:r w:rsidRPr="00203184" w:rsidR="00AE5068">
        <w:t>ых последний признаёт факт совершения вменённого административного правонарушения</w:t>
      </w:r>
      <w:r w:rsidRPr="00203184">
        <w:t>;</w:t>
      </w:r>
    </w:p>
    <w:p w:rsidR="008D3385" w:rsidRPr="00203184" w:rsidP="006E6B67">
      <w:pPr>
        <w:ind w:firstLine="709"/>
        <w:contextualSpacing/>
        <w:jc w:val="both"/>
      </w:pPr>
      <w:r w:rsidRPr="00203184">
        <w:t>- постановлением в возбуждении уголо</w:t>
      </w:r>
      <w:r w:rsidRPr="00203184" w:rsidR="004C57C8">
        <w:t xml:space="preserve">вного дела по части </w:t>
      </w:r>
      <w:r w:rsidRPr="00203184" w:rsidR="00272F3C">
        <w:t>1</w:t>
      </w:r>
      <w:r w:rsidRPr="00203184" w:rsidR="004C57C8">
        <w:t xml:space="preserve"> статьи </w:t>
      </w:r>
      <w:r w:rsidRPr="00203184" w:rsidR="00272F3C">
        <w:t>223</w:t>
      </w:r>
      <w:r w:rsidRPr="00203184">
        <w:t xml:space="preserve"> Уголовного кодекса Российской Федерации;</w:t>
      </w:r>
    </w:p>
    <w:p w:rsidR="00272F3C" w:rsidRPr="00203184" w:rsidP="006E6B67">
      <w:pPr>
        <w:ind w:firstLine="709"/>
        <w:contextualSpacing/>
        <w:jc w:val="both"/>
      </w:pPr>
      <w:r w:rsidRPr="00203184">
        <w:t>- рапортом сотрудника полиции, с указанием на выявление и изъятие запрещённых объектов в ходе обыска, про</w:t>
      </w:r>
      <w:r w:rsidRPr="00203184">
        <w:t xml:space="preserve">ведённого по уголовному делу, возбужденному в отношении привлекаемого лица; </w:t>
      </w:r>
    </w:p>
    <w:p w:rsidR="00272F3C" w:rsidRPr="00203184" w:rsidP="006E6B67">
      <w:pPr>
        <w:ind w:firstLine="709"/>
        <w:contextualSpacing/>
        <w:jc w:val="both"/>
      </w:pPr>
      <w:r w:rsidRPr="00203184">
        <w:t>- постановлением о выделении в отдельное производство, копии материалов уголовного дела, в связи с наличием признаков административного правонарушения;</w:t>
      </w:r>
    </w:p>
    <w:p w:rsidR="003B3C11" w:rsidRPr="00203184" w:rsidP="006E6B67">
      <w:pPr>
        <w:ind w:firstLine="709"/>
        <w:contextualSpacing/>
        <w:jc w:val="both"/>
      </w:pPr>
      <w:r w:rsidRPr="00203184">
        <w:t xml:space="preserve">- копией протокола обыска, </w:t>
      </w:r>
      <w:r w:rsidRPr="00203184">
        <w:t>из которого следует, что в месте, указанном в протоколе об административном правонарушении, выявлены и изъяты запрещённые объекты</w:t>
      </w:r>
      <w:r w:rsidRPr="00203184" w:rsidR="00A4534C">
        <w:t xml:space="preserve">, в том числе </w:t>
      </w:r>
      <w:r w:rsidRPr="00203184" w:rsidR="00203184">
        <w:t>боеприпас</w:t>
      </w:r>
      <w:r w:rsidR="00203184">
        <w:t>ы</w:t>
      </w:r>
      <w:r w:rsidRPr="00203184" w:rsidR="00203184">
        <w:t xml:space="preserve"> к гражданскому огнестрельному гладкоствольному оружию в количестве 79 патронов 12 калибра и 5 патронов 16 калибра</w:t>
      </w:r>
      <w:r w:rsidR="00203184">
        <w:t>;</w:t>
      </w:r>
    </w:p>
    <w:p w:rsidR="00605A1C" w:rsidRPr="00203184" w:rsidP="006E6B67">
      <w:pPr>
        <w:ind w:firstLine="709"/>
        <w:contextualSpacing/>
        <w:jc w:val="both"/>
      </w:pPr>
      <w:r w:rsidRPr="00203184">
        <w:t xml:space="preserve">- копией </w:t>
      </w:r>
      <w:r w:rsidRPr="00203184" w:rsidR="00A4534C">
        <w:t xml:space="preserve">дополнительного допроса подозреваемого, в котором подробно описаны обстоятельства появления у него запрещённых </w:t>
      </w:r>
      <w:r w:rsidRPr="00203184" w:rsidR="00C91A3B">
        <w:t>объектов, их хранение и изъятие правоохранительными органами</w:t>
      </w:r>
      <w:r w:rsidRPr="00203184">
        <w:t>;</w:t>
      </w:r>
    </w:p>
    <w:p w:rsidR="00E57B41" w:rsidP="006E6B67">
      <w:pPr>
        <w:ind w:firstLine="709"/>
        <w:contextualSpacing/>
        <w:jc w:val="both"/>
      </w:pPr>
      <w:r w:rsidRPr="00203184">
        <w:t xml:space="preserve">- </w:t>
      </w:r>
      <w:r w:rsidRPr="00203184" w:rsidR="004635C9">
        <w:t>заключением эксперта, согласно которому представленные патроны являются охотничьими и пригодны для производства выстрелов из гладкоствольного охотничьего оружия</w:t>
      </w:r>
      <w:r w:rsidRPr="00203184">
        <w:t>;</w:t>
      </w:r>
    </w:p>
    <w:p w:rsidR="001223FA" w:rsidP="006E6B67">
      <w:pPr>
        <w:ind w:firstLine="709"/>
        <w:contextualSpacing/>
        <w:jc w:val="both"/>
      </w:pPr>
      <w:r w:rsidRPr="00203184">
        <w:t>- справкой на физическое лицо, согласно которой привлекаемое лицо ранее не привлекалось к административной ответственности по схожим составам</w:t>
      </w:r>
      <w:r w:rsidR="009D4973">
        <w:t>;</w:t>
      </w:r>
    </w:p>
    <w:p w:rsidR="009D4973" w:rsidRPr="00203184" w:rsidP="006E6B67">
      <w:pPr>
        <w:ind w:firstLine="709"/>
        <w:contextualSpacing/>
        <w:jc w:val="both"/>
      </w:pPr>
      <w:r>
        <w:t xml:space="preserve">- </w:t>
      </w:r>
      <w:r>
        <w:t>фототаблицами.</w:t>
      </w:r>
    </w:p>
    <w:p w:rsidR="00820286" w:rsidRPr="00203184" w:rsidP="006E6B67">
      <w:pPr>
        <w:ind w:firstLine="709"/>
        <w:contextualSpacing/>
        <w:jc w:val="both"/>
      </w:pPr>
      <w:r w:rsidRPr="00203184"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</w:t>
      </w:r>
      <w:r w:rsidRPr="00203184">
        <w:t xml:space="preserve">собой. </w:t>
      </w:r>
    </w:p>
    <w:p w:rsidR="00820286" w:rsidRPr="00203184" w:rsidP="006E6B67">
      <w:pPr>
        <w:ind w:firstLine="709"/>
        <w:contextualSpacing/>
        <w:jc w:val="both"/>
      </w:pPr>
      <w:r w:rsidRPr="00203184">
        <w:t xml:space="preserve">При изложенных обстоятельствах, мировой судья находит вину </w:t>
      </w:r>
      <w:r w:rsidR="00203184">
        <w:t>Тетерина А.Ю</w:t>
      </w:r>
      <w:r w:rsidRPr="00203184" w:rsidR="00E334B3">
        <w:t>.</w:t>
      </w:r>
      <w:r w:rsidRPr="00203184" w:rsidR="00286257">
        <w:t xml:space="preserve"> </w:t>
      </w:r>
      <w:r w:rsidRPr="00203184">
        <w:t xml:space="preserve">в совершении </w:t>
      </w:r>
      <w:r w:rsidRPr="00203184" w:rsidR="00AF7FC6">
        <w:t>вменённого</w:t>
      </w:r>
      <w:r w:rsidRPr="00203184">
        <w:t xml:space="preserve"> административного правонарушения установленной и квалифицирует его действия по </w:t>
      </w:r>
      <w:r w:rsidRPr="00203184" w:rsidR="00AF7FC6">
        <w:t>ст</w:t>
      </w:r>
      <w:r w:rsidR="00203184">
        <w:t>.</w:t>
      </w:r>
      <w:r w:rsidRPr="00203184" w:rsidR="00574853">
        <w:t>20.</w:t>
      </w:r>
      <w:r w:rsidRPr="00203184" w:rsidR="00CE6E27">
        <w:t>10</w:t>
      </w:r>
      <w:r w:rsidRPr="00203184" w:rsidR="00AF7FC6">
        <w:t xml:space="preserve"> </w:t>
      </w:r>
      <w:r w:rsidRPr="00203184">
        <w:t>Кодекса Российской Федерации об административных правонарушения</w:t>
      </w:r>
      <w:r w:rsidRPr="00203184">
        <w:t xml:space="preserve">х – </w:t>
      </w:r>
      <w:r w:rsidRPr="00203184" w:rsidR="00574853">
        <w:t xml:space="preserve">незаконное хранение </w:t>
      </w:r>
      <w:r w:rsidRPr="00203184" w:rsidR="00315D49">
        <w:t xml:space="preserve">оружия и </w:t>
      </w:r>
      <w:r w:rsidRPr="00203184" w:rsidR="001223FA">
        <w:t xml:space="preserve">патронов к </w:t>
      </w:r>
      <w:r w:rsidRPr="00203184" w:rsidR="00574853">
        <w:t>гражданск</w:t>
      </w:r>
      <w:r w:rsidRPr="00203184" w:rsidR="001223FA">
        <w:t>ому</w:t>
      </w:r>
      <w:r w:rsidRPr="00203184" w:rsidR="00574853">
        <w:t xml:space="preserve"> огнестрельно</w:t>
      </w:r>
      <w:r w:rsidRPr="00203184" w:rsidR="001223FA">
        <w:t>му</w:t>
      </w:r>
      <w:r w:rsidRPr="00203184" w:rsidR="00574853">
        <w:t xml:space="preserve"> гладкоствольно</w:t>
      </w:r>
      <w:r w:rsidRPr="00203184" w:rsidR="001223FA">
        <w:t>му</w:t>
      </w:r>
      <w:r w:rsidRPr="00203184" w:rsidR="00574853">
        <w:t xml:space="preserve"> </w:t>
      </w:r>
      <w:r w:rsidRPr="00203184" w:rsidR="001223FA">
        <w:t>оружию</w:t>
      </w:r>
      <w:r w:rsidRPr="00203184" w:rsidR="00CE6E27">
        <w:t>, если эти действия не содержат уголовно наказуемого деяния</w:t>
      </w:r>
      <w:r w:rsidRPr="00203184">
        <w:t xml:space="preserve">. </w:t>
      </w:r>
    </w:p>
    <w:p w:rsidR="00574853" w:rsidRPr="00203184" w:rsidP="006E6B67">
      <w:pPr>
        <w:pStyle w:val="BodyTextIndent2"/>
        <w:tabs>
          <w:tab w:val="clear" w:pos="709"/>
        </w:tabs>
        <w:spacing w:before="0"/>
        <w:contextualSpacing/>
        <w:rPr>
          <w:sz w:val="24"/>
          <w:szCs w:val="24"/>
        </w:rPr>
      </w:pPr>
      <w:r w:rsidRPr="00203184">
        <w:rPr>
          <w:sz w:val="24"/>
          <w:szCs w:val="24"/>
        </w:rPr>
        <w:t>Обстоятельств, предусмотренных ст</w:t>
      </w:r>
      <w:r w:rsidR="00203184">
        <w:rPr>
          <w:sz w:val="24"/>
          <w:szCs w:val="24"/>
        </w:rPr>
        <w:t>.</w:t>
      </w:r>
      <w:r w:rsidRPr="00203184">
        <w:rPr>
          <w:sz w:val="24"/>
          <w:szCs w:val="24"/>
        </w:rPr>
        <w:t xml:space="preserve">4.2 </w:t>
      </w:r>
      <w:r w:rsidR="00203184">
        <w:rPr>
          <w:sz w:val="24"/>
          <w:szCs w:val="24"/>
        </w:rPr>
        <w:t>КоАП РФ</w:t>
      </w:r>
      <w:r w:rsidRPr="00203184">
        <w:rPr>
          <w:sz w:val="24"/>
          <w:szCs w:val="24"/>
        </w:rPr>
        <w:t xml:space="preserve"> и смягчающих административную ответственность, а такж</w:t>
      </w:r>
      <w:r w:rsidRPr="00203184">
        <w:rPr>
          <w:sz w:val="24"/>
          <w:szCs w:val="24"/>
        </w:rPr>
        <w:t>е обстоятельств, предусмотренных ст</w:t>
      </w:r>
      <w:r w:rsidR="00203184">
        <w:rPr>
          <w:sz w:val="24"/>
          <w:szCs w:val="24"/>
        </w:rPr>
        <w:t>.</w:t>
      </w:r>
      <w:r w:rsidRPr="00203184">
        <w:rPr>
          <w:sz w:val="24"/>
          <w:szCs w:val="24"/>
        </w:rPr>
        <w:t xml:space="preserve">4.3 </w:t>
      </w:r>
      <w:r w:rsidR="00203184">
        <w:rPr>
          <w:sz w:val="24"/>
          <w:szCs w:val="24"/>
        </w:rPr>
        <w:t>КоАП РФ</w:t>
      </w:r>
      <w:r w:rsidRPr="00203184">
        <w:rPr>
          <w:sz w:val="24"/>
          <w:szCs w:val="24"/>
        </w:rPr>
        <w:t xml:space="preserve"> и отягчающих административную ответственность, мировым судьёй по делу не установлено.</w:t>
      </w:r>
    </w:p>
    <w:p w:rsidR="00654C9A" w:rsidRPr="00203184" w:rsidP="006E6B67">
      <w:pPr>
        <w:ind w:firstLine="709"/>
        <w:contextualSpacing/>
        <w:jc w:val="both"/>
        <w:rPr>
          <w:lang w:eastAsia="ru-RU"/>
        </w:rPr>
      </w:pPr>
      <w:r w:rsidRPr="00203184">
        <w:rPr>
          <w:lang w:eastAsia="ru-RU"/>
        </w:rPr>
        <w:t>Дело об административном правонарушении рассмотрено с соблюдением требований ст</w:t>
      </w:r>
      <w:r w:rsidR="00203184">
        <w:rPr>
          <w:lang w:eastAsia="ru-RU"/>
        </w:rPr>
        <w:t>.ст.</w:t>
      </w:r>
      <w:r w:rsidRPr="00203184">
        <w:rPr>
          <w:lang w:eastAsia="ru-RU"/>
        </w:rPr>
        <w:t xml:space="preserve">4.5, 29.5, 29.6 </w:t>
      </w:r>
      <w:r w:rsidR="00203184">
        <w:rPr>
          <w:lang w:eastAsia="ru-RU"/>
        </w:rPr>
        <w:t>КоАП РФ</w:t>
      </w:r>
      <w:r w:rsidRPr="00203184">
        <w:rPr>
          <w:lang w:eastAsia="ru-RU"/>
        </w:rPr>
        <w:t>, устанавливающи</w:t>
      </w:r>
      <w:r w:rsidRPr="00203184">
        <w:rPr>
          <w:lang w:eastAsia="ru-RU"/>
        </w:rPr>
        <w:t>х сроки привлечения лица к административной ответственности, сроки и место рассмотрения дела.</w:t>
      </w:r>
    </w:p>
    <w:p w:rsidR="00FD2F65" w:rsidP="006E6B67">
      <w:pPr>
        <w:ind w:firstLine="709"/>
        <w:contextualSpacing/>
        <w:jc w:val="both"/>
      </w:pPr>
      <w:r>
        <w:t xml:space="preserve">При назначении административного наказания судья в соответствии с ч.2 ст.4.1 КоАП РФ, учитывает характер совершенного административного правонарушения, личность </w:t>
      </w:r>
      <w:r>
        <w:t>Тетерина А.Ю., его имущественное положение, обстоятельства, смягчающие и отягчающие административную ответственность.</w:t>
      </w:r>
    </w:p>
    <w:p w:rsidR="00FD2F65" w:rsidP="006E6B67">
      <w:pPr>
        <w:ind w:firstLine="709"/>
        <w:contextualSpacing/>
        <w:jc w:val="both"/>
      </w:pPr>
      <w:r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FD2F65" w:rsidP="006E6B67">
      <w:pPr>
        <w:ind w:firstLine="709"/>
        <w:contextualSpacing/>
        <w:jc w:val="both"/>
      </w:pPr>
      <w:r>
        <w:t>Отягчающих ответственност</w:t>
      </w:r>
      <w:r>
        <w:t>ь обстоятельств судом не установлено.</w:t>
      </w:r>
    </w:p>
    <w:p w:rsidR="00FD2F65" w:rsidP="006E6B67">
      <w:pPr>
        <w:ind w:firstLine="709"/>
        <w:contextualSpacing/>
        <w:jc w:val="both"/>
      </w:pPr>
      <w:r>
        <w:t>Обстоятельств, исключающих производство по делу об административном правонарушении и указанных в ст.24.5 КоАП РФ, а также обстоятельств, исключающих возможность рассмотрения дела, предусмотренных ст.29.2 КоАП РФ, не ус</w:t>
      </w:r>
      <w:r>
        <w:t>тановлено.</w:t>
      </w:r>
    </w:p>
    <w:p w:rsidR="00FD2F65" w:rsidP="006E6B67">
      <w:pPr>
        <w:ind w:firstLine="709"/>
        <w:contextualSpacing/>
        <w:jc w:val="both"/>
      </w:pPr>
      <w:r>
        <w:t>Согласно ст.3.1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D2F65" w:rsidP="006E6B67">
      <w:pPr>
        <w:ind w:firstLine="709"/>
        <w:contextualSpacing/>
        <w:jc w:val="both"/>
      </w:pPr>
      <w:r>
        <w:t>Учитывая отношение Тетерина А.Ю. к совершенному правонарушению, суд назнача</w:t>
      </w:r>
      <w:r>
        <w:t>ет ему административное наказание в виде административного штрафа.</w:t>
      </w:r>
    </w:p>
    <w:p w:rsidR="00315D49" w:rsidRPr="00203184" w:rsidP="006E6B67">
      <w:pPr>
        <w:ind w:firstLine="709"/>
        <w:contextualSpacing/>
        <w:jc w:val="both"/>
      </w:pPr>
      <w:r w:rsidRPr="00203184">
        <w:rPr>
          <w:lang w:eastAsia="ru-RU"/>
        </w:rPr>
        <w:t>На основании изложенного и руководствуясь статьями 29.9 – 29.11 Кодекса Российской Федерации об административных правонарушениях, мировой судья</w:t>
      </w:r>
    </w:p>
    <w:p w:rsidR="00203184" w:rsidP="006E6B67">
      <w:pPr>
        <w:spacing w:before="60" w:after="60"/>
        <w:contextualSpacing/>
        <w:jc w:val="center"/>
        <w:rPr>
          <w:spacing w:val="40"/>
        </w:rPr>
      </w:pPr>
    </w:p>
    <w:p w:rsidR="00315D49" w:rsidP="006E6B67">
      <w:pPr>
        <w:spacing w:before="60" w:after="60"/>
        <w:contextualSpacing/>
        <w:jc w:val="center"/>
      </w:pPr>
      <w:r w:rsidRPr="00203184">
        <w:rPr>
          <w:spacing w:val="40"/>
        </w:rPr>
        <w:t>постановил</w:t>
      </w:r>
      <w:r w:rsidRPr="00203184">
        <w:t>:</w:t>
      </w:r>
    </w:p>
    <w:p w:rsidR="00203184" w:rsidRPr="00203184" w:rsidP="006E6B67">
      <w:pPr>
        <w:spacing w:before="60" w:after="60"/>
        <w:contextualSpacing/>
        <w:jc w:val="center"/>
      </w:pPr>
    </w:p>
    <w:p w:rsidR="00023F68" w:rsidP="006E6B67">
      <w:pPr>
        <w:ind w:firstLine="708"/>
        <w:contextualSpacing/>
        <w:jc w:val="both"/>
        <w:rPr>
          <w:lang w:eastAsia="ru-RU"/>
        </w:rPr>
      </w:pPr>
      <w:r>
        <w:t xml:space="preserve">признать </w:t>
      </w:r>
      <w:r w:rsidR="00203184">
        <w:t>Тетерина Анатолия Юрьевича</w:t>
      </w:r>
      <w:r w:rsidRPr="00203184" w:rsidR="001223FA">
        <w:rPr>
          <w:lang w:eastAsia="ru-RU"/>
        </w:rPr>
        <w:t xml:space="preserve"> </w:t>
      </w:r>
      <w:r w:rsidRPr="00203184">
        <w:t xml:space="preserve">виновным в совершении административного правонарушения, предусмотренного </w:t>
      </w:r>
      <w:r w:rsidRPr="00203184" w:rsidR="0010699C">
        <w:rPr>
          <w:lang w:eastAsia="ru-RU"/>
        </w:rPr>
        <w:t>стать</w:t>
      </w:r>
      <w:r w:rsidRPr="00203184" w:rsidR="00376372">
        <w:rPr>
          <w:lang w:eastAsia="ru-RU"/>
        </w:rPr>
        <w:t>ёй</w:t>
      </w:r>
      <w:r w:rsidRPr="00203184" w:rsidR="0010699C">
        <w:rPr>
          <w:lang w:eastAsia="ru-RU"/>
        </w:rPr>
        <w:t xml:space="preserve"> 20.</w:t>
      </w:r>
      <w:r w:rsidRPr="00203184" w:rsidR="00376372">
        <w:rPr>
          <w:lang w:eastAsia="ru-RU"/>
        </w:rPr>
        <w:t>10</w:t>
      </w:r>
      <w:r w:rsidRPr="00203184" w:rsidR="0010699C">
        <w:rPr>
          <w:lang w:eastAsia="ru-RU"/>
        </w:rPr>
        <w:t xml:space="preserve"> </w:t>
      </w:r>
      <w:r w:rsidRPr="00203184">
        <w:t>Кодекса Российской Федерации об административных правонарушениях</w:t>
      </w:r>
      <w:r w:rsidRPr="00203184">
        <w:rPr>
          <w:lang w:eastAsia="ru-RU"/>
        </w:rPr>
        <w:t xml:space="preserve"> </w:t>
      </w:r>
      <w:r w:rsidRPr="00203184" w:rsidR="00C82AE3">
        <w:rPr>
          <w:lang w:eastAsia="ru-RU"/>
        </w:rPr>
        <w:t xml:space="preserve">и назначить наказание </w:t>
      </w:r>
      <w:r w:rsidRPr="00203184" w:rsidR="00C82AE3">
        <w:t xml:space="preserve">в </w:t>
      </w:r>
      <w:r w:rsidRPr="00203184" w:rsidR="00C82AE3">
        <w:rPr>
          <w:lang w:eastAsia="ru-RU"/>
        </w:rPr>
        <w:t xml:space="preserve">виде административного </w:t>
      </w:r>
      <w:r>
        <w:rPr>
          <w:lang w:eastAsia="ru-RU"/>
        </w:rPr>
        <w:t>штрафа в размере 5000 (пять тысяч) рублей.</w:t>
      </w:r>
    </w:p>
    <w:p w:rsidR="00FD2F65" w:rsidP="006E6B67">
      <w:pPr>
        <w:ind w:firstLine="708"/>
        <w:contextualSpacing/>
        <w:jc w:val="both"/>
      </w:pPr>
      <w:r>
        <w:t>Вещес</w:t>
      </w:r>
      <w:r>
        <w:t>твенные доказательства по вступлению постановления в законную силу:</w:t>
      </w:r>
    </w:p>
    <w:p w:rsidR="00FD2F65" w:rsidRPr="00203184" w:rsidP="006E6B67">
      <w:pPr>
        <w:ind w:firstLine="708"/>
        <w:contextualSpacing/>
        <w:jc w:val="both"/>
      </w:pPr>
      <w:r>
        <w:t>- боеприпасы к гражданскому огнестрельному гладкоствольному оружию в количестве 79 патронов 12 калибра и 5 патронов 16 калибра, – уничтожить.</w:t>
      </w:r>
    </w:p>
    <w:p w:rsidR="00FD2F65" w:rsidP="006E6B67">
      <w:pPr>
        <w:ind w:firstLine="708"/>
        <w:contextualSpacing/>
        <w:jc w:val="both"/>
      </w:pPr>
      <w:r>
        <w:t>Административный штраф подлежит уплате по след</w:t>
      </w:r>
      <w:r>
        <w:t>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</w:t>
      </w:r>
      <w:r>
        <w:t>гу – Югре, г. Ханты-Мансийск, номер казначейского счета: 03100643000000018700, ЕКС: 40102810245370000007, БИК: 007162163, ИНН: 8601073664, КПП: 860101001, ОКТМО: 71871000, КБК 69011601203010010</w:t>
      </w:r>
      <w:r w:rsidRPr="00FD2F65">
        <w:t>140</w:t>
      </w:r>
      <w:r>
        <w:t xml:space="preserve">, УИН </w:t>
      </w:r>
      <w:r w:rsidRPr="00FD2F65">
        <w:t>0412365400805005842420131</w:t>
      </w:r>
      <w:r>
        <w:t>.</w:t>
      </w:r>
    </w:p>
    <w:p w:rsidR="00FD2F65" w:rsidP="006E6B67">
      <w:pPr>
        <w:ind w:firstLine="708"/>
        <w:contextualSpacing/>
        <w:jc w:val="both"/>
      </w:pPr>
      <w:r>
        <w:t>Разъяснить привлекаемому ли</w:t>
      </w:r>
      <w:r>
        <w:t>цу,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</w:t>
      </w:r>
      <w:r>
        <w:t xml:space="preserve">ного штрафа в законную силу либо со дня истечения срока отсрочки или срока рассрочки, предусмотренных ст.31.5 КоАП РФ. </w:t>
      </w:r>
    </w:p>
    <w:p w:rsidR="00FD2F65" w:rsidP="006E6B67">
      <w:pPr>
        <w:ind w:firstLine="708"/>
        <w:contextualSpacing/>
        <w:jc w:val="both"/>
      </w:pPr>
      <w:r>
        <w:t xml:space="preserve">В соответствии со ст.31.5 КоАП РФ при наличии обстоятельств, вследствие которых исполнение постановления о назначении административного </w:t>
      </w:r>
      <w:r>
        <w:t>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</w:t>
      </w:r>
      <w:r>
        <w:t>ности, уплата административного штрафа может быть рассрочена судьей, вынесшим постановление, на срок до трех месяцев.</w:t>
      </w:r>
    </w:p>
    <w:p w:rsidR="00FD2F65" w:rsidP="006E6B67">
      <w:pPr>
        <w:ind w:firstLine="708"/>
        <w:contextualSpacing/>
        <w:jc w:val="both"/>
      </w:pPr>
      <w:r>
        <w:t>Квитанцию об оплате штрафа в шестидесятидневный срок со дня вступления постановления в законную силу необходимо предоставить мировому судь</w:t>
      </w:r>
      <w:r>
        <w:t>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87/1, каб.115.</w:t>
      </w:r>
    </w:p>
    <w:p w:rsidR="00FD2F65" w:rsidP="006E6B67">
      <w:pPr>
        <w:ind w:firstLine="708"/>
        <w:contextualSpacing/>
        <w:jc w:val="both"/>
      </w:pPr>
      <w:r>
        <w:t>Постановление может быть обжаловано в Ханты-Мансийски</w:t>
      </w:r>
      <w:r>
        <w:t>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BA330C" w:rsidP="006E6B67">
      <w:pPr>
        <w:tabs>
          <w:tab w:val="left" w:pos="709"/>
        </w:tabs>
        <w:contextualSpacing/>
        <w:jc w:val="both"/>
      </w:pPr>
    </w:p>
    <w:p w:rsidR="009D4973" w:rsidRPr="00203184" w:rsidP="006E6B67">
      <w:pPr>
        <w:tabs>
          <w:tab w:val="left" w:pos="709"/>
        </w:tabs>
        <w:contextualSpacing/>
        <w:jc w:val="both"/>
      </w:pPr>
    </w:p>
    <w:p w:rsidR="009D4973" w:rsidP="006E6B67">
      <w:pPr>
        <w:tabs>
          <w:tab w:val="left" w:pos="709"/>
        </w:tabs>
        <w:contextualSpacing/>
        <w:jc w:val="both"/>
      </w:pPr>
      <w:r>
        <w:t>Мировой судья</w:t>
      </w:r>
      <w:r>
        <w:tab/>
      </w:r>
      <w:r>
        <w:tab/>
        <w:t xml:space="preserve">                          /подпись/</w:t>
      </w:r>
      <w:r>
        <w:tab/>
      </w:r>
      <w:r>
        <w:tab/>
      </w:r>
      <w:r>
        <w:tab/>
      </w:r>
      <w:r>
        <w:tab/>
        <w:t xml:space="preserve">          Н.Н. Жиляк</w:t>
      </w:r>
    </w:p>
    <w:p w:rsidR="009D4973" w:rsidP="006E6B67">
      <w:pPr>
        <w:tabs>
          <w:tab w:val="left" w:pos="709"/>
        </w:tabs>
        <w:contextualSpacing/>
        <w:jc w:val="both"/>
      </w:pPr>
      <w:r>
        <w:t>Копия верна.</w:t>
      </w:r>
    </w:p>
    <w:p w:rsidR="000B0648" w:rsidRPr="00203184" w:rsidP="006E6B67">
      <w:pPr>
        <w:tabs>
          <w:tab w:val="left" w:pos="709"/>
        </w:tabs>
        <w:contextualSpacing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Н.Н. Жиляк</w:t>
      </w:r>
    </w:p>
    <w:sectPr w:rsidSect="00961D82">
      <w:headerReference w:type="default" r:id="rId6"/>
      <w:pgSz w:w="11906" w:h="16838"/>
      <w:pgMar w:top="709" w:right="567" w:bottom="426" w:left="1701" w:header="425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568" w:rsidP="00C67C9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6030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18"/>
    <w:rsid w:val="00017608"/>
    <w:rsid w:val="00017942"/>
    <w:rsid w:val="00023F68"/>
    <w:rsid w:val="00026FF2"/>
    <w:rsid w:val="000511F8"/>
    <w:rsid w:val="00082B13"/>
    <w:rsid w:val="00097115"/>
    <w:rsid w:val="000A236E"/>
    <w:rsid w:val="000A603C"/>
    <w:rsid w:val="000B0648"/>
    <w:rsid w:val="000C0075"/>
    <w:rsid w:val="000D7777"/>
    <w:rsid w:val="000F6E59"/>
    <w:rsid w:val="0010699C"/>
    <w:rsid w:val="00107AD0"/>
    <w:rsid w:val="00113ECF"/>
    <w:rsid w:val="001223FA"/>
    <w:rsid w:val="00164B7C"/>
    <w:rsid w:val="001939B3"/>
    <w:rsid w:val="00197692"/>
    <w:rsid w:val="001B3625"/>
    <w:rsid w:val="001B7FFE"/>
    <w:rsid w:val="001C07C9"/>
    <w:rsid w:val="001C4AAF"/>
    <w:rsid w:val="00203184"/>
    <w:rsid w:val="0021383A"/>
    <w:rsid w:val="0022702B"/>
    <w:rsid w:val="00250BA1"/>
    <w:rsid w:val="00272F3C"/>
    <w:rsid w:val="00286257"/>
    <w:rsid w:val="002942A1"/>
    <w:rsid w:val="002A2E59"/>
    <w:rsid w:val="002A66DB"/>
    <w:rsid w:val="002A7D53"/>
    <w:rsid w:val="002F4017"/>
    <w:rsid w:val="002F4BA2"/>
    <w:rsid w:val="002F50B5"/>
    <w:rsid w:val="00306F2B"/>
    <w:rsid w:val="00313A1D"/>
    <w:rsid w:val="00314013"/>
    <w:rsid w:val="00315D49"/>
    <w:rsid w:val="003301B7"/>
    <w:rsid w:val="0033763B"/>
    <w:rsid w:val="00345FBD"/>
    <w:rsid w:val="00351DAB"/>
    <w:rsid w:val="003643F5"/>
    <w:rsid w:val="0037075A"/>
    <w:rsid w:val="00372226"/>
    <w:rsid w:val="003757EC"/>
    <w:rsid w:val="00376372"/>
    <w:rsid w:val="003A2B02"/>
    <w:rsid w:val="003B3C11"/>
    <w:rsid w:val="003B4518"/>
    <w:rsid w:val="003D5E72"/>
    <w:rsid w:val="003F2398"/>
    <w:rsid w:val="00403236"/>
    <w:rsid w:val="0040497F"/>
    <w:rsid w:val="00406F08"/>
    <w:rsid w:val="00424712"/>
    <w:rsid w:val="00425403"/>
    <w:rsid w:val="00425F25"/>
    <w:rsid w:val="004334CC"/>
    <w:rsid w:val="00434AEB"/>
    <w:rsid w:val="00443293"/>
    <w:rsid w:val="004635C9"/>
    <w:rsid w:val="0048431B"/>
    <w:rsid w:val="0049281A"/>
    <w:rsid w:val="004A6F2E"/>
    <w:rsid w:val="004B00EE"/>
    <w:rsid w:val="004B51AE"/>
    <w:rsid w:val="004C1672"/>
    <w:rsid w:val="004C57C8"/>
    <w:rsid w:val="004D1D7E"/>
    <w:rsid w:val="004F4712"/>
    <w:rsid w:val="005011B7"/>
    <w:rsid w:val="0050205A"/>
    <w:rsid w:val="00505415"/>
    <w:rsid w:val="00531685"/>
    <w:rsid w:val="0054001D"/>
    <w:rsid w:val="00550C34"/>
    <w:rsid w:val="0055320E"/>
    <w:rsid w:val="00574853"/>
    <w:rsid w:val="00577392"/>
    <w:rsid w:val="00596B54"/>
    <w:rsid w:val="005B026A"/>
    <w:rsid w:val="005D0DF5"/>
    <w:rsid w:val="005E0ABA"/>
    <w:rsid w:val="005F1E9A"/>
    <w:rsid w:val="00605A1C"/>
    <w:rsid w:val="00610C41"/>
    <w:rsid w:val="00654C9A"/>
    <w:rsid w:val="0068427B"/>
    <w:rsid w:val="006854FD"/>
    <w:rsid w:val="006927CA"/>
    <w:rsid w:val="00696AEA"/>
    <w:rsid w:val="006B10F8"/>
    <w:rsid w:val="006D07DA"/>
    <w:rsid w:val="006D0A9B"/>
    <w:rsid w:val="006D1D12"/>
    <w:rsid w:val="006D1F17"/>
    <w:rsid w:val="006D4604"/>
    <w:rsid w:val="006E6B67"/>
    <w:rsid w:val="006F5497"/>
    <w:rsid w:val="007034DE"/>
    <w:rsid w:val="00712AB4"/>
    <w:rsid w:val="007131D6"/>
    <w:rsid w:val="0071672D"/>
    <w:rsid w:val="00722C50"/>
    <w:rsid w:val="00724294"/>
    <w:rsid w:val="00745F60"/>
    <w:rsid w:val="0076134A"/>
    <w:rsid w:val="00766025"/>
    <w:rsid w:val="007928D8"/>
    <w:rsid w:val="007C75CC"/>
    <w:rsid w:val="007E03C7"/>
    <w:rsid w:val="008102B2"/>
    <w:rsid w:val="0081153C"/>
    <w:rsid w:val="0081350F"/>
    <w:rsid w:val="008143F4"/>
    <w:rsid w:val="00820286"/>
    <w:rsid w:val="00825E92"/>
    <w:rsid w:val="008467B2"/>
    <w:rsid w:val="0085580A"/>
    <w:rsid w:val="00883045"/>
    <w:rsid w:val="008852D8"/>
    <w:rsid w:val="008A1F71"/>
    <w:rsid w:val="008A7A5F"/>
    <w:rsid w:val="008D3385"/>
    <w:rsid w:val="008E0A84"/>
    <w:rsid w:val="008E3B36"/>
    <w:rsid w:val="008E47DA"/>
    <w:rsid w:val="008E4F3F"/>
    <w:rsid w:val="009001E8"/>
    <w:rsid w:val="00904A37"/>
    <w:rsid w:val="009065D4"/>
    <w:rsid w:val="00923433"/>
    <w:rsid w:val="0093053A"/>
    <w:rsid w:val="009373B7"/>
    <w:rsid w:val="0094577D"/>
    <w:rsid w:val="00956718"/>
    <w:rsid w:val="00960300"/>
    <w:rsid w:val="00961D82"/>
    <w:rsid w:val="009668BD"/>
    <w:rsid w:val="009765D9"/>
    <w:rsid w:val="00990C81"/>
    <w:rsid w:val="009B6A99"/>
    <w:rsid w:val="009C4145"/>
    <w:rsid w:val="009D4973"/>
    <w:rsid w:val="009E4DCA"/>
    <w:rsid w:val="009F22EC"/>
    <w:rsid w:val="00A07235"/>
    <w:rsid w:val="00A143FA"/>
    <w:rsid w:val="00A2633B"/>
    <w:rsid w:val="00A264FF"/>
    <w:rsid w:val="00A27ABC"/>
    <w:rsid w:val="00A43835"/>
    <w:rsid w:val="00A4534C"/>
    <w:rsid w:val="00A47015"/>
    <w:rsid w:val="00A47168"/>
    <w:rsid w:val="00A52A0A"/>
    <w:rsid w:val="00A55C45"/>
    <w:rsid w:val="00A63FA5"/>
    <w:rsid w:val="00A677F5"/>
    <w:rsid w:val="00A70381"/>
    <w:rsid w:val="00A95BC3"/>
    <w:rsid w:val="00AD34EB"/>
    <w:rsid w:val="00AD6F79"/>
    <w:rsid w:val="00AE2568"/>
    <w:rsid w:val="00AE5068"/>
    <w:rsid w:val="00AF7FC6"/>
    <w:rsid w:val="00B0539C"/>
    <w:rsid w:val="00B05FB0"/>
    <w:rsid w:val="00B17970"/>
    <w:rsid w:val="00B26AB9"/>
    <w:rsid w:val="00B3649B"/>
    <w:rsid w:val="00B37A03"/>
    <w:rsid w:val="00B659A3"/>
    <w:rsid w:val="00B95DF7"/>
    <w:rsid w:val="00B96469"/>
    <w:rsid w:val="00BA330C"/>
    <w:rsid w:val="00BB456F"/>
    <w:rsid w:val="00BC4636"/>
    <w:rsid w:val="00BD3001"/>
    <w:rsid w:val="00BD642C"/>
    <w:rsid w:val="00BD64BA"/>
    <w:rsid w:val="00C27DF1"/>
    <w:rsid w:val="00C31178"/>
    <w:rsid w:val="00C400EA"/>
    <w:rsid w:val="00C4097E"/>
    <w:rsid w:val="00C514C9"/>
    <w:rsid w:val="00C662ED"/>
    <w:rsid w:val="00C67C9B"/>
    <w:rsid w:val="00C76F39"/>
    <w:rsid w:val="00C82AE3"/>
    <w:rsid w:val="00C84764"/>
    <w:rsid w:val="00C91A3B"/>
    <w:rsid w:val="00C930FD"/>
    <w:rsid w:val="00CB0595"/>
    <w:rsid w:val="00CB6A36"/>
    <w:rsid w:val="00CC12EA"/>
    <w:rsid w:val="00CC28F5"/>
    <w:rsid w:val="00CD1686"/>
    <w:rsid w:val="00CD4B96"/>
    <w:rsid w:val="00CE5050"/>
    <w:rsid w:val="00CE6E27"/>
    <w:rsid w:val="00D06059"/>
    <w:rsid w:val="00D17398"/>
    <w:rsid w:val="00D21563"/>
    <w:rsid w:val="00D22722"/>
    <w:rsid w:val="00D24655"/>
    <w:rsid w:val="00D251F8"/>
    <w:rsid w:val="00D3662E"/>
    <w:rsid w:val="00D76E94"/>
    <w:rsid w:val="00D972CA"/>
    <w:rsid w:val="00DA6D26"/>
    <w:rsid w:val="00DB2C01"/>
    <w:rsid w:val="00DC29E9"/>
    <w:rsid w:val="00DC73A3"/>
    <w:rsid w:val="00DF24FA"/>
    <w:rsid w:val="00DF54DD"/>
    <w:rsid w:val="00E00120"/>
    <w:rsid w:val="00E217D0"/>
    <w:rsid w:val="00E2246E"/>
    <w:rsid w:val="00E265E8"/>
    <w:rsid w:val="00E334B3"/>
    <w:rsid w:val="00E33C7F"/>
    <w:rsid w:val="00E35924"/>
    <w:rsid w:val="00E47766"/>
    <w:rsid w:val="00E57B41"/>
    <w:rsid w:val="00E762B9"/>
    <w:rsid w:val="00E773DB"/>
    <w:rsid w:val="00E834FB"/>
    <w:rsid w:val="00E844E5"/>
    <w:rsid w:val="00E962F2"/>
    <w:rsid w:val="00EA059F"/>
    <w:rsid w:val="00EA4107"/>
    <w:rsid w:val="00EA780C"/>
    <w:rsid w:val="00EB0948"/>
    <w:rsid w:val="00EB7B8E"/>
    <w:rsid w:val="00EC7120"/>
    <w:rsid w:val="00ED2B21"/>
    <w:rsid w:val="00ED6BE7"/>
    <w:rsid w:val="00F008FA"/>
    <w:rsid w:val="00F07A82"/>
    <w:rsid w:val="00F12140"/>
    <w:rsid w:val="00F266A2"/>
    <w:rsid w:val="00F27CD9"/>
    <w:rsid w:val="00F40E89"/>
    <w:rsid w:val="00F50F3F"/>
    <w:rsid w:val="00F53C2F"/>
    <w:rsid w:val="00F558FF"/>
    <w:rsid w:val="00F75E1A"/>
    <w:rsid w:val="00F8263A"/>
    <w:rsid w:val="00FA202E"/>
    <w:rsid w:val="00FA783E"/>
    <w:rsid w:val="00FB10E5"/>
    <w:rsid w:val="00FC076A"/>
    <w:rsid w:val="00FC51DE"/>
    <w:rsid w:val="00FD2F65"/>
    <w:rsid w:val="00FD320A"/>
    <w:rsid w:val="00FD6B44"/>
    <w:rsid w:val="00FD7586"/>
    <w:rsid w:val="00FE2C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850A54AF-7F3C-4531-ACA7-3C806EC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">
    <w:name w:val="Основной текст с отступом Знак"/>
    <w:rPr>
      <w:sz w:val="24"/>
      <w:szCs w:val="24"/>
      <w:lang w:val="x-none"/>
    </w:rPr>
  </w:style>
  <w:style w:type="character" w:customStyle="1" w:styleId="a0">
    <w:name w:val="Текст выноски Знак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10">
    <w:name w:val="Заголовок 1 Знак"/>
    <w:rPr>
      <w:sz w:val="24"/>
    </w:rPr>
  </w:style>
  <w:style w:type="character" w:customStyle="1" w:styleId="snippetequal">
    <w:name w:val="snippet_equal"/>
  </w:style>
  <w:style w:type="character" w:customStyle="1" w:styleId="DefaultParagraphFont0">
    <w:name w:val="Default Paragraph Font_0"/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  <w:rPr>
      <w:lang w:val="x-none"/>
    </w:rPr>
  </w:style>
  <w:style w:type="paragraph" w:styleId="NoSpacing">
    <w:name w:val="No Spacing"/>
    <w:qFormat/>
    <w:pPr>
      <w:suppressAutoHyphens/>
    </w:pPr>
    <w:rPr>
      <w:sz w:val="24"/>
      <w:szCs w:val="24"/>
      <w:lang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DocumentMap">
    <w:name w:val="DocumentMap"/>
    <w:pPr>
      <w:suppressAutoHyphens/>
    </w:pPr>
  </w:style>
  <w:style w:type="paragraph" w:customStyle="1" w:styleId="2">
    <w:name w:val="Основной текст (2)"/>
    <w:basedOn w:val="Normal"/>
    <w:pPr>
      <w:widowControl w:val="0"/>
      <w:shd w:val="clear" w:color="auto" w:fill="FFFFFF"/>
      <w:spacing w:before="360" w:line="254" w:lineRule="exact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Normal"/>
    <w:rsid w:val="009F22E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FollowedHyperlink">
    <w:name w:val="FollowedHyperlink"/>
    <w:uiPriority w:val="99"/>
    <w:semiHidden/>
    <w:unhideWhenUsed/>
    <w:rsid w:val="0071672D"/>
    <w:rPr>
      <w:color w:val="954F72"/>
      <w:u w:val="single"/>
    </w:rPr>
  </w:style>
  <w:style w:type="character" w:styleId="Emphasis">
    <w:name w:val="Emphasis"/>
    <w:uiPriority w:val="20"/>
    <w:qFormat/>
    <w:rsid w:val="0071672D"/>
    <w:rPr>
      <w:i/>
      <w:iCs/>
    </w:rPr>
  </w:style>
  <w:style w:type="paragraph" w:styleId="Header">
    <w:name w:val="header"/>
    <w:basedOn w:val="Normal"/>
    <w:link w:val="a2"/>
    <w:uiPriority w:val="99"/>
    <w:unhideWhenUsed/>
    <w:rsid w:val="00AE256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AE2568"/>
    <w:rPr>
      <w:sz w:val="24"/>
      <w:szCs w:val="24"/>
      <w:lang w:eastAsia="zh-CN"/>
    </w:rPr>
  </w:style>
  <w:style w:type="paragraph" w:styleId="Footer">
    <w:name w:val="footer"/>
    <w:basedOn w:val="Normal"/>
    <w:link w:val="a3"/>
    <w:uiPriority w:val="99"/>
    <w:unhideWhenUsed/>
    <w:rsid w:val="00AE2568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AE2568"/>
    <w:rPr>
      <w:sz w:val="24"/>
      <w:szCs w:val="24"/>
      <w:lang w:eastAsia="zh-CN"/>
    </w:rPr>
  </w:style>
  <w:style w:type="paragraph" w:customStyle="1" w:styleId="a4">
    <w:name w:val="Стиль"/>
    <w:rsid w:val="003140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B0539C"/>
    <w:pPr>
      <w:tabs>
        <w:tab w:val="left" w:pos="709"/>
      </w:tabs>
      <w:spacing w:before="120"/>
      <w:ind w:firstLine="709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BodyTextIndent2"/>
    <w:uiPriority w:val="99"/>
    <w:rsid w:val="00B0539C"/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F31E-59CF-42C3-9055-BF931803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